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92B4" w14:textId="4F954897" w:rsidR="0080252E" w:rsidRPr="00816BCF" w:rsidRDefault="00BD1074" w:rsidP="0080252E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</w:t>
      </w:r>
      <w:r w:rsidR="0080252E" w:rsidRPr="00816BCF">
        <w:rPr>
          <w:rFonts w:ascii="Times New Roman" w:hAnsi="Times New Roman"/>
          <w:b/>
          <w:noProof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440902F" w14:textId="40C8ACAC" w:rsidR="00103D13" w:rsidRPr="00816BCF" w:rsidRDefault="00B92AC9" w:rsidP="00B8665A">
      <w:pPr>
        <w:spacing w:after="120" w:line="240" w:lineRule="auto"/>
        <w:contextualSpacing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B92AC9"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</w:rPr>
        <w:t xml:space="preserve">Електрична енергія </w:t>
      </w:r>
      <w:r w:rsidRPr="00B92AC9"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  <w:t>з розподілом</w:t>
      </w:r>
      <w:r w:rsidRPr="00B92AC9"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</w:rPr>
        <w:t> (код ДК 021:2015 «09310000-5» Електрична енергія).</w:t>
      </w:r>
      <w:r w:rsidRPr="00B92AC9">
        <w:rPr>
          <w:rFonts w:ascii="Times New Roman" w:hAnsi="Times New Roman"/>
          <w:b/>
          <w:bCs/>
          <w:i/>
          <w:iCs/>
          <w:noProof/>
          <w:sz w:val="24"/>
          <w:szCs w:val="24"/>
          <w:u w:val="single"/>
          <w:lang w:val="uk-UA"/>
        </w:rPr>
        <w:t xml:space="preserve"> </w:t>
      </w:r>
      <w:r w:rsidR="0080252E" w:rsidRPr="00816BCF">
        <w:rPr>
          <w:rFonts w:ascii="Times New Roman" w:hAnsi="Times New Roman"/>
          <w:noProof/>
          <w:sz w:val="24"/>
          <w:szCs w:val="24"/>
          <w:lang w:val="uk-UA"/>
        </w:rPr>
        <w:t>(відповідно до пункту 4</w:t>
      </w:r>
      <w:r w:rsidR="0080252E" w:rsidRPr="00816BCF">
        <w:rPr>
          <w:rFonts w:ascii="Times New Roman" w:hAnsi="Times New Roman"/>
          <w:noProof/>
          <w:sz w:val="24"/>
          <w:szCs w:val="24"/>
          <w:vertAlign w:val="superscript"/>
          <w:lang w:val="uk-UA"/>
        </w:rPr>
        <w:t xml:space="preserve">1 </w:t>
      </w:r>
      <w:r w:rsidR="0080252E" w:rsidRPr="00816BCF">
        <w:rPr>
          <w:rFonts w:ascii="Times New Roman" w:hAnsi="Times New Roman"/>
          <w:noProof/>
          <w:sz w:val="24"/>
          <w:szCs w:val="24"/>
          <w:lang w:val="uk-UA"/>
        </w:rPr>
        <w:t xml:space="preserve">постанови КМУ від 11.10.2016 № 710 «Про ефективне </w:t>
      </w:r>
    </w:p>
    <w:p w14:paraId="5BDFE7B4" w14:textId="4BE83909" w:rsidR="0080252E" w:rsidRPr="00816BCF" w:rsidRDefault="0080252E" w:rsidP="0080252E">
      <w:pPr>
        <w:spacing w:after="120" w:line="240" w:lineRule="auto"/>
        <w:contextualSpacing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816BCF">
        <w:rPr>
          <w:rFonts w:ascii="Times New Roman" w:hAnsi="Times New Roman"/>
          <w:noProof/>
          <w:sz w:val="24"/>
          <w:szCs w:val="24"/>
          <w:lang w:val="uk-UA"/>
        </w:rPr>
        <w:t>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80252E" w:rsidRPr="00816BCF" w14:paraId="42B98699" w14:textId="77777777" w:rsidTr="00207A94">
        <w:trPr>
          <w:trHeight w:val="748"/>
        </w:trPr>
        <w:tc>
          <w:tcPr>
            <w:tcW w:w="421" w:type="dxa"/>
          </w:tcPr>
          <w:p w14:paraId="37C8BB88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210" w:type="dxa"/>
          </w:tcPr>
          <w:p w14:paraId="2ACF33C3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145" w:type="dxa"/>
          </w:tcPr>
          <w:p w14:paraId="069FFCFF" w14:textId="332ADFB1" w:rsidR="0080252E" w:rsidRPr="00AB7692" w:rsidRDefault="00160A28" w:rsidP="00AB7692">
            <w:pPr>
              <w:jc w:val="center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uk-UA" w:eastAsia="ru-RU"/>
              </w:rPr>
            </w:pPr>
            <w:proofErr w:type="spellStart"/>
            <w:r w:rsidRPr="0016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Електрична</w:t>
            </w:r>
            <w:proofErr w:type="spellEnd"/>
            <w:r w:rsidRPr="0016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6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енергія</w:t>
            </w:r>
            <w:proofErr w:type="spellEnd"/>
            <w:r w:rsidRPr="0016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C69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з розподілом</w:t>
            </w:r>
            <w:r w:rsidRPr="0016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 (код ДК 021:2015 «09310000-5» </w:t>
            </w:r>
            <w:proofErr w:type="spellStart"/>
            <w:r w:rsidRPr="0016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Електрична</w:t>
            </w:r>
            <w:proofErr w:type="spellEnd"/>
            <w:r w:rsidRPr="0016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6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енергія</w:t>
            </w:r>
            <w:proofErr w:type="spellEnd"/>
            <w:r w:rsidRPr="00160A2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).</w:t>
            </w:r>
          </w:p>
        </w:tc>
      </w:tr>
      <w:tr w:rsidR="0080252E" w:rsidRPr="00816BCF" w14:paraId="749C7C8D" w14:textId="77777777" w:rsidTr="00207A94">
        <w:trPr>
          <w:trHeight w:val="477"/>
        </w:trPr>
        <w:tc>
          <w:tcPr>
            <w:tcW w:w="421" w:type="dxa"/>
          </w:tcPr>
          <w:p w14:paraId="626D6BC1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210" w:type="dxa"/>
          </w:tcPr>
          <w:p w14:paraId="1ACBB298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Вид процедури</w:t>
            </w:r>
          </w:p>
        </w:tc>
        <w:tc>
          <w:tcPr>
            <w:tcW w:w="6145" w:type="dxa"/>
          </w:tcPr>
          <w:p w14:paraId="138F1EC7" w14:textId="5F0A828B" w:rsidR="0080252E" w:rsidRPr="00812E75" w:rsidRDefault="00812E75" w:rsidP="00812E75">
            <w:pPr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812E75">
              <w:rPr>
                <w:rFonts w:ascii="Times New Roman" w:hAnsi="Times New Roman"/>
                <w:b/>
                <w:noProof/>
                <w:sz w:val="24"/>
                <w:szCs w:val="24"/>
              </w:rPr>
              <w:t>Запит (ціни) пропозицій</w:t>
            </w:r>
          </w:p>
        </w:tc>
      </w:tr>
      <w:tr w:rsidR="0080252E" w:rsidRPr="00816BCF" w14:paraId="3FCDD3F7" w14:textId="77777777" w:rsidTr="00207A94">
        <w:trPr>
          <w:trHeight w:val="1789"/>
        </w:trPr>
        <w:tc>
          <w:tcPr>
            <w:tcW w:w="421" w:type="dxa"/>
          </w:tcPr>
          <w:p w14:paraId="32631945" w14:textId="77777777" w:rsidR="0080252E" w:rsidRPr="00816BCF" w:rsidRDefault="0080252E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210" w:type="dxa"/>
          </w:tcPr>
          <w:p w14:paraId="1ECD4336" w14:textId="77777777" w:rsidR="0080252E" w:rsidRPr="00816BCF" w:rsidRDefault="0080252E" w:rsidP="00F00851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</w:tcPr>
          <w:p w14:paraId="249FC0D7" w14:textId="77777777" w:rsidR="0019452D" w:rsidRDefault="0019452D" w:rsidP="0019452D">
            <w:pPr>
              <w:jc w:val="both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uk-UA" w:eastAsia="ru-RU"/>
              </w:rPr>
            </w:pPr>
            <w:r w:rsidRPr="0019452D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uk-UA" w:eastAsia="ru-RU"/>
              </w:rPr>
              <w:t>Закупівля електричної енергії, регулюються та встановлюються Законом України «Про ринок електричної енергії» (далі — Закон), Правилами роздрібного ринку електричної енергії, затвердженими постановою Національної комісії , що здійснює державне регулювання у сферах енергетики та комунальних послуг (далі — НКРЕКП) від 14.03.2018 № 312 (далі — ПРРЕЕ), Законом України «Про публічні закупівлі» від 25.12.2015 № 922-VIII (далі — Закон про закупівлі), Кодексом системи розподілу, затвердженим постановою Національної комісії регулювання електроенергетики та комунальних послуг України від 14.03.2018 № 310 (далі — КСР), Порядком забезпечення стандартів якості електропостачання та надання компенсацій споживачам за їх недотримання, затвердженим постановою НКРЕКП від 12.06.2018 № 375 (далі — Порядок № 375), та іншими нормативно-правовими актами, щ</w:t>
            </w: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uk-UA" w:eastAsia="ru-RU"/>
              </w:rPr>
              <w:t>о стосуються предмета закупівлі.</w:t>
            </w:r>
          </w:p>
          <w:p w14:paraId="43982B9C" w14:textId="2DC2C8D8" w:rsidR="0080252E" w:rsidRPr="00840942" w:rsidRDefault="0019452D" w:rsidP="0019452D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19452D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val="uk-UA" w:eastAsia="ru-RU"/>
              </w:rPr>
              <w:t>Кількісною характеристикою</w:t>
            </w:r>
            <w:r w:rsidRPr="0019452D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 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Обсяг, необхідний для забезпечення діяльності та власних потреб об’єктів замовника, та враховуючи обсяги споживання переднього календарного року, становить </w:t>
            </w:r>
            <w:r w:rsidRPr="0019452D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315 000 кВт. год на 2026р</w:t>
            </w:r>
            <w:r w:rsidRPr="0019452D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.</w:t>
            </w:r>
          </w:p>
        </w:tc>
      </w:tr>
      <w:tr w:rsidR="0080252E" w:rsidRPr="00012EC1" w14:paraId="59485657" w14:textId="77777777" w:rsidTr="00F00851">
        <w:tc>
          <w:tcPr>
            <w:tcW w:w="421" w:type="dxa"/>
          </w:tcPr>
          <w:p w14:paraId="564991D5" w14:textId="77777777" w:rsidR="0080252E" w:rsidRPr="00816BCF" w:rsidRDefault="00485813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210" w:type="dxa"/>
          </w:tcPr>
          <w:p w14:paraId="5F6C6FD2" w14:textId="77777777" w:rsidR="0080252E" w:rsidRPr="00816BCF" w:rsidRDefault="0080252E" w:rsidP="00F00851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816B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</w:tcPr>
          <w:p w14:paraId="5E0AA427" w14:textId="5AA6BB54" w:rsidR="0080252E" w:rsidRPr="008328A2" w:rsidRDefault="008C6429" w:rsidP="00F00851">
            <w:pPr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8C6429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3 978 865</w:t>
            </w:r>
            <w:r w:rsidR="002B3D90" w:rsidRPr="008C6429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012EC1" w:rsidRPr="008C6429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 грн з ПДВ</w:t>
            </w:r>
          </w:p>
        </w:tc>
      </w:tr>
      <w:tr w:rsidR="0080252E" w:rsidRPr="008C6429" w14:paraId="2EB7AAEC" w14:textId="77777777" w:rsidTr="00F00851">
        <w:tc>
          <w:tcPr>
            <w:tcW w:w="421" w:type="dxa"/>
          </w:tcPr>
          <w:p w14:paraId="47253035" w14:textId="77777777" w:rsidR="0080252E" w:rsidRPr="00816BCF" w:rsidRDefault="00485813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816BCF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210" w:type="dxa"/>
          </w:tcPr>
          <w:p w14:paraId="78B72A9B" w14:textId="77777777" w:rsidR="0080252E" w:rsidRPr="00816BCF" w:rsidRDefault="0080252E" w:rsidP="00F00851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816BC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</w:tcPr>
          <w:p w14:paraId="25EA75D8" w14:textId="5A9C4F8A" w:rsidR="00160A28" w:rsidRPr="00AC2183" w:rsidRDefault="002F1A7E" w:rsidP="00840942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</w:pPr>
            <w:r w:rsidRPr="002F1A7E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</w:t>
            </w:r>
            <w:r w:rsidR="0019452D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>Закупівля запланована на 2026</w:t>
            </w:r>
            <w:r w:rsidR="0019452D" w:rsidRPr="0019452D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t xml:space="preserve"> рік. Визначення очікуваної вартості предмета закупівлі обумовлено аналізом споживання (річного та місячного) електричної енергії за 2025 календарний рік. Замовником здійснено розрахунки очікуваної вартості закупівлі методом порівняння ринкових цін. При цьому розрахунок </w:t>
            </w:r>
            <w:r w:rsidR="0019452D" w:rsidRPr="0019452D">
              <w:rPr>
                <w:rFonts w:ascii="Times New Roman" w:eastAsia="Times New Roman" w:hAnsi="Times New Roman"/>
                <w:noProof/>
                <w:sz w:val="24"/>
                <w:szCs w:val="24"/>
                <w:lang w:val="uk-UA" w:eastAsia="ru-RU"/>
              </w:rPr>
              <w:lastRenderedPageBreak/>
              <w:t>очікуваної вартості проводився згідно з аналізом цін електропостачальників на електричну енергію на дату формування очікуваної вартості предмету закупівлі. До ціни електричної енергії включена вартість електричної енергії, закупованої електропостачальником на оптовому ринку електричної енергії, послуги з передачі електричної енергії, розподіл електричної енергії, націнка електропостачальників та всі визначені законодавством податки та збори.</w:t>
            </w:r>
          </w:p>
        </w:tc>
      </w:tr>
      <w:tr w:rsidR="00410CEC" w:rsidRPr="00410CEC" w14:paraId="0F20E0A2" w14:textId="77777777" w:rsidTr="00F00851">
        <w:tc>
          <w:tcPr>
            <w:tcW w:w="421" w:type="dxa"/>
          </w:tcPr>
          <w:p w14:paraId="29D3B26F" w14:textId="7B565DD8" w:rsidR="00410CEC" w:rsidRPr="00816BCF" w:rsidRDefault="00410CEC" w:rsidP="00F00851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3210" w:type="dxa"/>
          </w:tcPr>
          <w:p w14:paraId="39712185" w14:textId="25D84431" w:rsidR="00410CEC" w:rsidRPr="00816BCF" w:rsidRDefault="00410CEC" w:rsidP="00410CEC">
            <w:pP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</w:pPr>
            <w:r w:rsidRPr="00410CEC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 xml:space="preserve">Ідентифікатор закупівлі в </w:t>
            </w: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ru-RU"/>
              </w:rPr>
              <w:t>електронній системі закупівель</w:t>
            </w:r>
          </w:p>
        </w:tc>
        <w:tc>
          <w:tcPr>
            <w:tcW w:w="6145" w:type="dxa"/>
          </w:tcPr>
          <w:p w14:paraId="441FB2F3" w14:textId="52708158" w:rsidR="00410CEC" w:rsidRPr="00E575D7" w:rsidRDefault="008C6429" w:rsidP="00F00851">
            <w:pPr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UA-2025-12-17-021562-a</w:t>
            </w:r>
          </w:p>
        </w:tc>
      </w:tr>
    </w:tbl>
    <w:p w14:paraId="5724F633" w14:textId="77777777" w:rsidR="00FE6658" w:rsidRPr="00816BCF" w:rsidRDefault="00FE6658">
      <w:pPr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FE6658" w:rsidRPr="0081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0F8"/>
    <w:rsid w:val="00012EC1"/>
    <w:rsid w:val="00072146"/>
    <w:rsid w:val="000B3930"/>
    <w:rsid w:val="000D6FE9"/>
    <w:rsid w:val="000F6EAC"/>
    <w:rsid w:val="00103D13"/>
    <w:rsid w:val="00122F9F"/>
    <w:rsid w:val="00133ECA"/>
    <w:rsid w:val="001366D5"/>
    <w:rsid w:val="00151BC2"/>
    <w:rsid w:val="001553FB"/>
    <w:rsid w:val="00160A28"/>
    <w:rsid w:val="00170A1C"/>
    <w:rsid w:val="0019208D"/>
    <w:rsid w:val="00193217"/>
    <w:rsid w:val="0019452D"/>
    <w:rsid w:val="00195664"/>
    <w:rsid w:val="00207A94"/>
    <w:rsid w:val="0021158C"/>
    <w:rsid w:val="0027153B"/>
    <w:rsid w:val="00277BDF"/>
    <w:rsid w:val="00287182"/>
    <w:rsid w:val="002B3D90"/>
    <w:rsid w:val="002D40F8"/>
    <w:rsid w:val="002F1A7E"/>
    <w:rsid w:val="00394E0B"/>
    <w:rsid w:val="00410CEC"/>
    <w:rsid w:val="0042158E"/>
    <w:rsid w:val="00452C70"/>
    <w:rsid w:val="0046240B"/>
    <w:rsid w:val="00485813"/>
    <w:rsid w:val="004C6918"/>
    <w:rsid w:val="004F4831"/>
    <w:rsid w:val="004F65CC"/>
    <w:rsid w:val="00510D54"/>
    <w:rsid w:val="00513169"/>
    <w:rsid w:val="0059320E"/>
    <w:rsid w:val="005C4E8D"/>
    <w:rsid w:val="005E3CE6"/>
    <w:rsid w:val="005E69CA"/>
    <w:rsid w:val="005E74E2"/>
    <w:rsid w:val="006361C0"/>
    <w:rsid w:val="00654499"/>
    <w:rsid w:val="00671D39"/>
    <w:rsid w:val="00685202"/>
    <w:rsid w:val="00694B3D"/>
    <w:rsid w:val="00710EAF"/>
    <w:rsid w:val="00712E24"/>
    <w:rsid w:val="00731398"/>
    <w:rsid w:val="007534C9"/>
    <w:rsid w:val="00770347"/>
    <w:rsid w:val="007733B5"/>
    <w:rsid w:val="00775380"/>
    <w:rsid w:val="007A38B5"/>
    <w:rsid w:val="007B7334"/>
    <w:rsid w:val="007F1433"/>
    <w:rsid w:val="0080252E"/>
    <w:rsid w:val="00805ABC"/>
    <w:rsid w:val="00812E75"/>
    <w:rsid w:val="00816BCF"/>
    <w:rsid w:val="008328A2"/>
    <w:rsid w:val="00840942"/>
    <w:rsid w:val="0086429D"/>
    <w:rsid w:val="00871A7B"/>
    <w:rsid w:val="008A02DF"/>
    <w:rsid w:val="008A4B32"/>
    <w:rsid w:val="008C6429"/>
    <w:rsid w:val="008D7D2D"/>
    <w:rsid w:val="00950744"/>
    <w:rsid w:val="009D08D5"/>
    <w:rsid w:val="009E175C"/>
    <w:rsid w:val="009F2F94"/>
    <w:rsid w:val="00A1194C"/>
    <w:rsid w:val="00A36150"/>
    <w:rsid w:val="00AB7692"/>
    <w:rsid w:val="00AC2183"/>
    <w:rsid w:val="00AD0C7B"/>
    <w:rsid w:val="00B54BD7"/>
    <w:rsid w:val="00B8665A"/>
    <w:rsid w:val="00B92AC9"/>
    <w:rsid w:val="00BB5E95"/>
    <w:rsid w:val="00BD1074"/>
    <w:rsid w:val="00C11EAB"/>
    <w:rsid w:val="00C62C8A"/>
    <w:rsid w:val="00C66C6A"/>
    <w:rsid w:val="00CA35B5"/>
    <w:rsid w:val="00CA5287"/>
    <w:rsid w:val="00CB4F89"/>
    <w:rsid w:val="00CC49C9"/>
    <w:rsid w:val="00CE141E"/>
    <w:rsid w:val="00D87171"/>
    <w:rsid w:val="00DA1C3E"/>
    <w:rsid w:val="00E02F69"/>
    <w:rsid w:val="00E07AD6"/>
    <w:rsid w:val="00E43737"/>
    <w:rsid w:val="00E575D7"/>
    <w:rsid w:val="00ED21F5"/>
    <w:rsid w:val="00ED5EFB"/>
    <w:rsid w:val="00EF2325"/>
    <w:rsid w:val="00EF38A7"/>
    <w:rsid w:val="00F22926"/>
    <w:rsid w:val="00F67FEC"/>
    <w:rsid w:val="00F876A5"/>
    <w:rsid w:val="00FE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A6B36"/>
  <w15:docId w15:val="{E814C96E-52B1-4046-9AFA-D131C26E8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5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52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uk-UA"/>
    </w:rPr>
  </w:style>
  <w:style w:type="character" w:customStyle="1" w:styleId="qabuget">
    <w:name w:val="qa_buget"/>
    <w:basedOn w:val="a0"/>
    <w:rsid w:val="0080252E"/>
  </w:style>
  <w:style w:type="character" w:customStyle="1" w:styleId="qacode">
    <w:name w:val="qa_code"/>
    <w:basedOn w:val="a0"/>
    <w:rsid w:val="0080252E"/>
  </w:style>
  <w:style w:type="character" w:styleId="a3">
    <w:name w:val="Hyperlink"/>
    <w:basedOn w:val="a0"/>
    <w:uiPriority w:val="99"/>
    <w:unhideWhenUsed/>
    <w:rsid w:val="00160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1810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Snabhenie</dc:creator>
  <cp:keywords/>
  <dc:description/>
  <cp:lastModifiedBy>Dmytro</cp:lastModifiedBy>
  <cp:revision>30</cp:revision>
  <dcterms:created xsi:type="dcterms:W3CDTF">2025-12-05T16:21:00Z</dcterms:created>
  <dcterms:modified xsi:type="dcterms:W3CDTF">2025-12-17T16:31:00Z</dcterms:modified>
</cp:coreProperties>
</file>