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92B4" w14:textId="4F954897" w:rsidR="0080252E" w:rsidRPr="00816BCF" w:rsidRDefault="00BD1074" w:rsidP="0080252E">
      <w:pPr>
        <w:spacing w:after="0" w:line="240" w:lineRule="auto"/>
        <w:jc w:val="center"/>
        <w:rPr>
          <w:rFonts w:ascii="Times New Roman" w:hAnsi="Times New Roman"/>
          <w:b/>
          <w:noProof/>
          <w:sz w:val="24"/>
          <w:szCs w:val="24"/>
          <w:lang w:val="uk-UA"/>
        </w:rPr>
      </w:pPr>
      <w:r>
        <w:rPr>
          <w:rFonts w:ascii="Times New Roman" w:hAnsi="Times New Roman"/>
          <w:b/>
          <w:noProof/>
          <w:sz w:val="24"/>
          <w:szCs w:val="24"/>
          <w:lang w:val="uk-UA"/>
        </w:rPr>
        <w:t xml:space="preserve"> </w:t>
      </w:r>
      <w:r w:rsidR="0080252E" w:rsidRPr="00816BCF">
        <w:rPr>
          <w:rFonts w:ascii="Times New Roman" w:hAnsi="Times New Roman"/>
          <w:b/>
          <w:noProof/>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5194838" w14:textId="152F6312" w:rsidR="00277BDF" w:rsidRDefault="00277BDF" w:rsidP="00B8665A">
      <w:pPr>
        <w:spacing w:after="120" w:line="240" w:lineRule="auto"/>
        <w:contextualSpacing/>
        <w:jc w:val="center"/>
        <w:rPr>
          <w:rFonts w:ascii="Times New Roman" w:hAnsi="Times New Roman"/>
          <w:b/>
          <w:bCs/>
          <w:i/>
          <w:iCs/>
          <w:noProof/>
          <w:sz w:val="24"/>
          <w:szCs w:val="24"/>
          <w:u w:val="single"/>
          <w:lang w:val="uk-UA"/>
        </w:rPr>
      </w:pPr>
      <w:r w:rsidRPr="00277BDF">
        <w:rPr>
          <w:rFonts w:ascii="Times New Roman" w:hAnsi="Times New Roman"/>
          <w:b/>
          <w:bCs/>
          <w:i/>
          <w:iCs/>
          <w:noProof/>
          <w:sz w:val="24"/>
          <w:szCs w:val="24"/>
          <w:u w:val="single"/>
          <w:lang w:val="uk-UA"/>
        </w:rPr>
        <w:t xml:space="preserve">Бензин А-95 (талони), дизельне паливо (талони)  ДК 021:2015: 09130000-9 Нафта і дистиляти </w:t>
      </w:r>
    </w:p>
    <w:p w14:paraId="5440902F" w14:textId="3D73F8B7" w:rsidR="00103D13" w:rsidRPr="00816BCF" w:rsidRDefault="0080252E" w:rsidP="00B8665A">
      <w:pPr>
        <w:spacing w:after="120" w:line="240" w:lineRule="auto"/>
        <w:contextualSpacing/>
        <w:jc w:val="center"/>
        <w:rPr>
          <w:rFonts w:ascii="Times New Roman" w:hAnsi="Times New Roman"/>
          <w:noProof/>
          <w:sz w:val="24"/>
          <w:szCs w:val="24"/>
          <w:lang w:val="uk-UA"/>
        </w:rPr>
      </w:pPr>
      <w:r w:rsidRPr="00816BCF">
        <w:rPr>
          <w:rFonts w:ascii="Times New Roman" w:hAnsi="Times New Roman"/>
          <w:noProof/>
          <w:sz w:val="24"/>
          <w:szCs w:val="24"/>
          <w:lang w:val="uk-UA"/>
        </w:rPr>
        <w:t>(відповідно до пункту 4</w:t>
      </w:r>
      <w:r w:rsidRPr="00816BCF">
        <w:rPr>
          <w:rFonts w:ascii="Times New Roman" w:hAnsi="Times New Roman"/>
          <w:noProof/>
          <w:sz w:val="24"/>
          <w:szCs w:val="24"/>
          <w:vertAlign w:val="superscript"/>
          <w:lang w:val="uk-UA"/>
        </w:rPr>
        <w:t xml:space="preserve">1 </w:t>
      </w:r>
      <w:r w:rsidRPr="00816BCF">
        <w:rPr>
          <w:rFonts w:ascii="Times New Roman" w:hAnsi="Times New Roman"/>
          <w:noProof/>
          <w:sz w:val="24"/>
          <w:szCs w:val="24"/>
          <w:lang w:val="uk-UA"/>
        </w:rPr>
        <w:t xml:space="preserve">постанови КМУ від 11.10.2016 № 710 «Про ефективне </w:t>
      </w:r>
    </w:p>
    <w:p w14:paraId="5BDFE7B4" w14:textId="4BE83909" w:rsidR="0080252E" w:rsidRPr="00816BCF" w:rsidRDefault="0080252E" w:rsidP="0080252E">
      <w:pPr>
        <w:spacing w:after="120" w:line="240" w:lineRule="auto"/>
        <w:contextualSpacing/>
        <w:jc w:val="center"/>
        <w:rPr>
          <w:rFonts w:ascii="Times New Roman" w:hAnsi="Times New Roman"/>
          <w:noProof/>
          <w:sz w:val="24"/>
          <w:szCs w:val="24"/>
          <w:lang w:val="uk-UA"/>
        </w:rPr>
      </w:pPr>
      <w:r w:rsidRPr="00816BCF">
        <w:rPr>
          <w:rFonts w:ascii="Times New Roman" w:hAnsi="Times New Roman"/>
          <w:noProof/>
          <w:sz w:val="24"/>
          <w:szCs w:val="24"/>
          <w:lang w:val="uk-UA"/>
        </w:rPr>
        <w:t>використання державних коштів» (зі змінами))</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80252E" w:rsidRPr="00816BCF" w14:paraId="42B98699" w14:textId="77777777" w:rsidTr="00207A94">
        <w:trPr>
          <w:trHeight w:val="748"/>
        </w:trPr>
        <w:tc>
          <w:tcPr>
            <w:tcW w:w="421" w:type="dxa"/>
          </w:tcPr>
          <w:p w14:paraId="37C8BB88"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1</w:t>
            </w:r>
          </w:p>
        </w:tc>
        <w:tc>
          <w:tcPr>
            <w:tcW w:w="3210" w:type="dxa"/>
          </w:tcPr>
          <w:p w14:paraId="2ACF33C3" w14:textId="77777777" w:rsidR="0080252E" w:rsidRPr="00816BCF" w:rsidRDefault="0080252E" w:rsidP="00F00851">
            <w:pPr>
              <w:rPr>
                <w:rFonts w:ascii="Times New Roman" w:hAnsi="Times New Roman"/>
                <w:b/>
                <w:noProof/>
                <w:sz w:val="24"/>
                <w:szCs w:val="24"/>
                <w:lang w:val="uk-UA"/>
              </w:rPr>
            </w:pPr>
            <w:r w:rsidRPr="00816BCF">
              <w:rPr>
                <w:rFonts w:ascii="Times New Roman" w:hAnsi="Times New Roman"/>
                <w:b/>
                <w:noProof/>
                <w:sz w:val="24"/>
                <w:szCs w:val="24"/>
                <w:lang w:val="uk-UA"/>
              </w:rPr>
              <w:t>Назва предмета закупівлі</w:t>
            </w:r>
          </w:p>
        </w:tc>
        <w:tc>
          <w:tcPr>
            <w:tcW w:w="6145" w:type="dxa"/>
          </w:tcPr>
          <w:p w14:paraId="68C5B90B" w14:textId="5B6BB869" w:rsidR="00AB7692" w:rsidRDefault="00277BDF" w:rsidP="00AB7692">
            <w:pPr>
              <w:jc w:val="center"/>
              <w:rPr>
                <w:rFonts w:ascii="Times New Roman" w:eastAsia="Times New Roman" w:hAnsi="Times New Roman"/>
                <w:bCs/>
                <w:noProof/>
                <w:sz w:val="24"/>
                <w:szCs w:val="24"/>
                <w:lang w:val="uk-UA" w:eastAsia="ru-RU"/>
              </w:rPr>
            </w:pPr>
            <w:r w:rsidRPr="00277BDF">
              <w:rPr>
                <w:rFonts w:ascii="Times New Roman" w:eastAsia="Times New Roman" w:hAnsi="Times New Roman" w:cs="Times New Roman"/>
                <w:b/>
                <w:color w:val="000000"/>
                <w:sz w:val="24"/>
                <w:szCs w:val="24"/>
                <w:lang w:val="uk-UA" w:eastAsia="uk-UA"/>
              </w:rPr>
              <w:t xml:space="preserve">Бензин А-95 (талони), дизельне паливо (талони) </w:t>
            </w:r>
          </w:p>
          <w:p w14:paraId="069FFCFF" w14:textId="6B2E42CE" w:rsidR="0080252E" w:rsidRPr="00AB7692" w:rsidRDefault="00710EAF" w:rsidP="00AB7692">
            <w:pPr>
              <w:jc w:val="center"/>
              <w:rPr>
                <w:rFonts w:ascii="Times New Roman" w:eastAsia="Times New Roman" w:hAnsi="Times New Roman"/>
                <w:bCs/>
                <w:noProof/>
                <w:sz w:val="24"/>
                <w:szCs w:val="24"/>
                <w:lang w:val="uk-UA" w:eastAsia="ru-RU"/>
              </w:rPr>
            </w:pPr>
            <w:r w:rsidRPr="00710EAF">
              <w:rPr>
                <w:rFonts w:ascii="Times New Roman" w:eastAsia="Times New Roman" w:hAnsi="Times New Roman"/>
                <w:bCs/>
                <w:noProof/>
                <w:sz w:val="24"/>
                <w:szCs w:val="24"/>
                <w:lang w:val="uk-UA" w:eastAsia="ru-RU"/>
              </w:rPr>
              <w:t xml:space="preserve">ДК 021:2015: </w:t>
            </w:r>
            <w:r w:rsidR="00012EC1" w:rsidRPr="00012EC1">
              <w:rPr>
                <w:rFonts w:ascii="Times New Roman" w:eastAsia="Times New Roman" w:hAnsi="Times New Roman"/>
                <w:bCs/>
                <w:noProof/>
                <w:sz w:val="24"/>
                <w:szCs w:val="24"/>
                <w:lang w:val="uk-UA" w:eastAsia="ru-RU"/>
              </w:rPr>
              <w:t>09130000-9 Нафта і дистиляти</w:t>
            </w:r>
          </w:p>
        </w:tc>
      </w:tr>
      <w:tr w:rsidR="0080252E" w:rsidRPr="00816BCF" w14:paraId="749C7C8D" w14:textId="77777777" w:rsidTr="00207A94">
        <w:trPr>
          <w:trHeight w:val="477"/>
        </w:trPr>
        <w:tc>
          <w:tcPr>
            <w:tcW w:w="421" w:type="dxa"/>
          </w:tcPr>
          <w:p w14:paraId="626D6BC1"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2</w:t>
            </w:r>
          </w:p>
        </w:tc>
        <w:tc>
          <w:tcPr>
            <w:tcW w:w="3210" w:type="dxa"/>
          </w:tcPr>
          <w:p w14:paraId="1ACBB298" w14:textId="77777777" w:rsidR="0080252E" w:rsidRPr="00816BCF" w:rsidRDefault="0080252E" w:rsidP="00F00851">
            <w:pPr>
              <w:rPr>
                <w:rFonts w:ascii="Times New Roman" w:hAnsi="Times New Roman"/>
                <w:b/>
                <w:noProof/>
                <w:sz w:val="24"/>
                <w:szCs w:val="24"/>
                <w:lang w:val="uk-UA"/>
              </w:rPr>
            </w:pPr>
            <w:r w:rsidRPr="00816BCF">
              <w:rPr>
                <w:rFonts w:ascii="Times New Roman" w:hAnsi="Times New Roman"/>
                <w:b/>
                <w:noProof/>
                <w:sz w:val="24"/>
                <w:szCs w:val="24"/>
                <w:lang w:val="uk-UA"/>
              </w:rPr>
              <w:t>Вид процедури</w:t>
            </w:r>
          </w:p>
        </w:tc>
        <w:tc>
          <w:tcPr>
            <w:tcW w:w="6145" w:type="dxa"/>
          </w:tcPr>
          <w:p w14:paraId="138F1EC7" w14:textId="46E0FA3C" w:rsidR="0080252E" w:rsidRPr="00816BCF" w:rsidRDefault="005C4E8D" w:rsidP="00F00851">
            <w:pPr>
              <w:rPr>
                <w:rFonts w:ascii="Times New Roman" w:hAnsi="Times New Roman"/>
                <w:noProof/>
                <w:sz w:val="24"/>
                <w:szCs w:val="24"/>
                <w:lang w:val="uk-UA"/>
              </w:rPr>
            </w:pPr>
            <w:r w:rsidRPr="00816BCF">
              <w:rPr>
                <w:rFonts w:ascii="Times New Roman" w:hAnsi="Times New Roman"/>
                <w:noProof/>
                <w:sz w:val="24"/>
                <w:szCs w:val="24"/>
                <w:lang w:val="uk-UA"/>
              </w:rPr>
              <w:t>Відкриті торги з особливостями</w:t>
            </w:r>
          </w:p>
        </w:tc>
      </w:tr>
      <w:tr w:rsidR="0080252E" w:rsidRPr="00816BCF" w14:paraId="3FCDD3F7" w14:textId="77777777" w:rsidTr="00207A94">
        <w:trPr>
          <w:trHeight w:val="1789"/>
        </w:trPr>
        <w:tc>
          <w:tcPr>
            <w:tcW w:w="421" w:type="dxa"/>
          </w:tcPr>
          <w:p w14:paraId="32631945"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3</w:t>
            </w:r>
          </w:p>
        </w:tc>
        <w:tc>
          <w:tcPr>
            <w:tcW w:w="3210" w:type="dxa"/>
          </w:tcPr>
          <w:p w14:paraId="1ECD4336" w14:textId="77777777" w:rsidR="0080252E" w:rsidRPr="00816BCF" w:rsidRDefault="0080252E" w:rsidP="00F00851">
            <w:pPr>
              <w:rPr>
                <w:rFonts w:ascii="Times New Roman" w:hAnsi="Times New Roman"/>
                <w:b/>
                <w:noProof/>
                <w:sz w:val="24"/>
                <w:szCs w:val="24"/>
                <w:lang w:val="uk-UA"/>
              </w:rPr>
            </w:pPr>
            <w:r w:rsidRPr="00816BCF">
              <w:rPr>
                <w:rFonts w:ascii="Times New Roman" w:eastAsia="Times New Roman" w:hAnsi="Times New Roman"/>
                <w:b/>
                <w:noProof/>
                <w:sz w:val="24"/>
                <w:szCs w:val="24"/>
                <w:lang w:val="uk-UA" w:eastAsia="ru-RU"/>
              </w:rPr>
              <w:t>Обґрунтування технічних та якісних характеристик предмета закупівлі</w:t>
            </w:r>
          </w:p>
        </w:tc>
        <w:tc>
          <w:tcPr>
            <w:tcW w:w="6145" w:type="dxa"/>
          </w:tcPr>
          <w:p w14:paraId="43982B9C" w14:textId="162BB291" w:rsidR="0080252E" w:rsidRPr="00816BCF" w:rsidRDefault="0080252E" w:rsidP="008D7D2D">
            <w:pPr>
              <w:jc w:val="both"/>
              <w:rPr>
                <w:b/>
                <w:noProof/>
                <w:sz w:val="24"/>
                <w:szCs w:val="24"/>
                <w:lang w:val="uk-UA"/>
              </w:rPr>
            </w:pPr>
            <w:r w:rsidRPr="00816BCF">
              <w:rPr>
                <w:rFonts w:ascii="Times New Roman" w:eastAsia="Times New Roman" w:hAnsi="Times New Roman"/>
                <w:noProof/>
                <w:sz w:val="24"/>
                <w:szCs w:val="24"/>
                <w:lang w:val="uk-UA" w:eastAsia="ru-RU"/>
              </w:rPr>
              <w:t xml:space="preserve">Інформація про технічні, якісні та кількісні характеристики предмета закупівлі наведена в Додатку </w:t>
            </w:r>
            <w:r w:rsidR="005C4E8D" w:rsidRPr="00816BCF">
              <w:rPr>
                <w:rFonts w:ascii="Times New Roman" w:eastAsia="Times New Roman" w:hAnsi="Times New Roman"/>
                <w:noProof/>
                <w:sz w:val="24"/>
                <w:szCs w:val="24"/>
                <w:lang w:val="uk-UA" w:eastAsia="ru-RU"/>
              </w:rPr>
              <w:t>№</w:t>
            </w:r>
            <w:r w:rsidR="00277BDF">
              <w:rPr>
                <w:rFonts w:ascii="Times New Roman" w:eastAsia="Times New Roman" w:hAnsi="Times New Roman"/>
                <w:noProof/>
                <w:sz w:val="24"/>
                <w:szCs w:val="24"/>
                <w:lang w:val="uk-UA" w:eastAsia="ru-RU"/>
              </w:rPr>
              <w:t>4</w:t>
            </w:r>
            <w:r w:rsidRPr="00816BCF">
              <w:rPr>
                <w:rFonts w:ascii="Times New Roman" w:eastAsia="Times New Roman" w:hAnsi="Times New Roman"/>
                <w:noProof/>
                <w:sz w:val="24"/>
                <w:szCs w:val="24"/>
                <w:lang w:val="uk-UA" w:eastAsia="ru-RU"/>
              </w:rPr>
              <w:t xml:space="preserve"> тендерної документації на закупівлю</w:t>
            </w:r>
            <w:r w:rsidR="000F6EAC" w:rsidRPr="00816BCF">
              <w:rPr>
                <w:rFonts w:ascii="Times New Roman" w:eastAsia="Times New Roman" w:hAnsi="Times New Roman"/>
                <w:noProof/>
                <w:sz w:val="24"/>
                <w:szCs w:val="24"/>
                <w:lang w:val="uk-UA" w:eastAsia="ru-RU"/>
              </w:rPr>
              <w:t>.</w:t>
            </w:r>
            <w:r w:rsidRPr="00816BCF">
              <w:rPr>
                <w:rFonts w:ascii="Times New Roman" w:eastAsia="Times New Roman" w:hAnsi="Times New Roman"/>
                <w:noProof/>
                <w:sz w:val="24"/>
                <w:szCs w:val="24"/>
                <w:lang w:val="uk-UA" w:eastAsia="ru-RU"/>
              </w:rPr>
              <w:t xml:space="preserve"> Технічні та якісні характеристики предмета закупівлі визначені відповідно до потреб замовника та з урахуванням вимог законодавства</w:t>
            </w:r>
          </w:p>
        </w:tc>
      </w:tr>
      <w:tr w:rsidR="0080252E" w:rsidRPr="00012EC1" w14:paraId="59485657" w14:textId="77777777" w:rsidTr="00F00851">
        <w:tc>
          <w:tcPr>
            <w:tcW w:w="421" w:type="dxa"/>
          </w:tcPr>
          <w:p w14:paraId="564991D5" w14:textId="77777777" w:rsidR="0080252E" w:rsidRPr="00816BCF" w:rsidRDefault="00485813" w:rsidP="00F00851">
            <w:pPr>
              <w:rPr>
                <w:rFonts w:ascii="Times New Roman" w:hAnsi="Times New Roman"/>
                <w:noProof/>
                <w:sz w:val="24"/>
                <w:szCs w:val="24"/>
                <w:lang w:val="uk-UA"/>
              </w:rPr>
            </w:pPr>
            <w:r w:rsidRPr="00816BCF">
              <w:rPr>
                <w:rFonts w:ascii="Times New Roman" w:hAnsi="Times New Roman"/>
                <w:noProof/>
                <w:sz w:val="24"/>
                <w:szCs w:val="24"/>
                <w:lang w:val="uk-UA"/>
              </w:rPr>
              <w:t>4</w:t>
            </w:r>
          </w:p>
        </w:tc>
        <w:tc>
          <w:tcPr>
            <w:tcW w:w="3210" w:type="dxa"/>
          </w:tcPr>
          <w:p w14:paraId="5F6C6FD2" w14:textId="77777777" w:rsidR="0080252E" w:rsidRPr="00816BCF" w:rsidRDefault="0080252E" w:rsidP="00F00851">
            <w:pPr>
              <w:rPr>
                <w:rFonts w:ascii="Times New Roman" w:eastAsia="Times New Roman" w:hAnsi="Times New Roman"/>
                <w:b/>
                <w:noProof/>
                <w:sz w:val="24"/>
                <w:szCs w:val="24"/>
                <w:lang w:val="uk-UA" w:eastAsia="ru-RU"/>
              </w:rPr>
            </w:pPr>
            <w:r w:rsidRPr="00816BCF">
              <w:rPr>
                <w:rFonts w:ascii="Times New Roman" w:eastAsia="Times New Roman" w:hAnsi="Times New Roman"/>
                <w:b/>
                <w:noProof/>
                <w:sz w:val="24"/>
                <w:szCs w:val="24"/>
                <w:lang w:val="uk-UA" w:eastAsia="ru-RU"/>
              </w:rPr>
              <w:t>Очікувана вартість предмета закупівлі</w:t>
            </w:r>
          </w:p>
        </w:tc>
        <w:tc>
          <w:tcPr>
            <w:tcW w:w="6145" w:type="dxa"/>
          </w:tcPr>
          <w:p w14:paraId="5E0AA427" w14:textId="115AF72C" w:rsidR="0080252E" w:rsidRPr="008328A2" w:rsidRDefault="002E6EA8" w:rsidP="00F00851">
            <w:pPr>
              <w:rPr>
                <w:rFonts w:ascii="Times New Roman" w:eastAsia="Times New Roman" w:hAnsi="Times New Roman"/>
                <w:noProof/>
                <w:sz w:val="24"/>
                <w:szCs w:val="24"/>
                <w:lang w:val="uk-UA" w:eastAsia="ru-RU"/>
              </w:rPr>
            </w:pPr>
            <w:r>
              <w:rPr>
                <w:rFonts w:ascii="Times New Roman" w:hAnsi="Times New Roman"/>
                <w:noProof/>
                <w:sz w:val="24"/>
                <w:szCs w:val="24"/>
                <w:shd w:val="clear" w:color="auto" w:fill="FFFFFF"/>
                <w:lang w:val="uk-UA"/>
              </w:rPr>
              <w:t>211</w:t>
            </w:r>
            <w:r w:rsidR="00AB7692" w:rsidRPr="00784EA0">
              <w:rPr>
                <w:rFonts w:ascii="Times New Roman" w:hAnsi="Times New Roman"/>
                <w:noProof/>
                <w:sz w:val="24"/>
                <w:szCs w:val="24"/>
                <w:shd w:val="clear" w:color="auto" w:fill="FFFFFF"/>
                <w:lang w:val="uk-UA"/>
              </w:rPr>
              <w:t xml:space="preserve"> </w:t>
            </w:r>
            <w:r>
              <w:rPr>
                <w:rFonts w:ascii="Times New Roman" w:hAnsi="Times New Roman"/>
                <w:noProof/>
                <w:sz w:val="24"/>
                <w:szCs w:val="24"/>
                <w:shd w:val="clear" w:color="auto" w:fill="FFFFFF"/>
                <w:lang w:val="uk-UA"/>
              </w:rPr>
              <w:t>1</w:t>
            </w:r>
            <w:r w:rsidR="00AB7692" w:rsidRPr="00784EA0">
              <w:rPr>
                <w:rFonts w:ascii="Times New Roman" w:hAnsi="Times New Roman"/>
                <w:noProof/>
                <w:sz w:val="24"/>
                <w:szCs w:val="24"/>
                <w:shd w:val="clear" w:color="auto" w:fill="FFFFFF"/>
                <w:lang w:val="uk-UA"/>
              </w:rPr>
              <w:t>0</w:t>
            </w:r>
            <w:r>
              <w:rPr>
                <w:rFonts w:ascii="Times New Roman" w:hAnsi="Times New Roman"/>
                <w:noProof/>
                <w:sz w:val="24"/>
                <w:szCs w:val="24"/>
                <w:shd w:val="clear" w:color="auto" w:fill="FFFFFF"/>
                <w:lang w:val="uk-UA"/>
              </w:rPr>
              <w:t>5</w:t>
            </w:r>
            <w:r w:rsidR="002B3D90" w:rsidRPr="00784EA0">
              <w:rPr>
                <w:rFonts w:ascii="Times New Roman" w:hAnsi="Times New Roman"/>
                <w:noProof/>
                <w:sz w:val="24"/>
                <w:szCs w:val="24"/>
                <w:shd w:val="clear" w:color="auto" w:fill="FFFFFF"/>
                <w:lang w:val="uk-UA"/>
              </w:rPr>
              <w:t>,00</w:t>
            </w:r>
            <w:r w:rsidR="00012EC1" w:rsidRPr="00784EA0">
              <w:rPr>
                <w:rFonts w:ascii="Times New Roman" w:hAnsi="Times New Roman"/>
                <w:noProof/>
                <w:sz w:val="24"/>
                <w:szCs w:val="24"/>
                <w:shd w:val="clear" w:color="auto" w:fill="FFFFFF"/>
                <w:lang w:val="uk-UA"/>
              </w:rPr>
              <w:t xml:space="preserve"> грн з ПДВ</w:t>
            </w:r>
          </w:p>
        </w:tc>
      </w:tr>
      <w:tr w:rsidR="0080252E" w:rsidRPr="00F16B1C" w14:paraId="2EB7AAEC" w14:textId="77777777" w:rsidTr="00F00851">
        <w:tc>
          <w:tcPr>
            <w:tcW w:w="421" w:type="dxa"/>
          </w:tcPr>
          <w:p w14:paraId="47253035" w14:textId="77777777" w:rsidR="0080252E" w:rsidRPr="00816BCF" w:rsidRDefault="00485813" w:rsidP="00F00851">
            <w:pPr>
              <w:rPr>
                <w:rFonts w:ascii="Times New Roman" w:hAnsi="Times New Roman"/>
                <w:noProof/>
                <w:sz w:val="24"/>
                <w:szCs w:val="24"/>
                <w:lang w:val="uk-UA"/>
              </w:rPr>
            </w:pPr>
            <w:r w:rsidRPr="00816BCF">
              <w:rPr>
                <w:rFonts w:ascii="Times New Roman" w:hAnsi="Times New Roman"/>
                <w:noProof/>
                <w:sz w:val="24"/>
                <w:szCs w:val="24"/>
                <w:lang w:val="uk-UA"/>
              </w:rPr>
              <w:t>5</w:t>
            </w:r>
          </w:p>
        </w:tc>
        <w:tc>
          <w:tcPr>
            <w:tcW w:w="3210" w:type="dxa"/>
          </w:tcPr>
          <w:p w14:paraId="78B72A9B" w14:textId="77777777" w:rsidR="0080252E" w:rsidRPr="00816BCF" w:rsidRDefault="0080252E" w:rsidP="00F00851">
            <w:pPr>
              <w:rPr>
                <w:rFonts w:ascii="Times New Roman" w:eastAsia="Times New Roman" w:hAnsi="Times New Roman"/>
                <w:b/>
                <w:noProof/>
                <w:sz w:val="24"/>
                <w:szCs w:val="24"/>
                <w:lang w:val="uk-UA" w:eastAsia="ru-RU"/>
              </w:rPr>
            </w:pPr>
            <w:r w:rsidRPr="00816BCF">
              <w:rPr>
                <w:rFonts w:ascii="Times New Roman" w:eastAsia="Times New Roman" w:hAnsi="Times New Roman"/>
                <w:b/>
                <w:noProof/>
                <w:sz w:val="24"/>
                <w:szCs w:val="24"/>
                <w:lang w:val="uk-UA" w:eastAsia="ru-RU"/>
              </w:rPr>
              <w:t>Обґрунтування очікуваної вартості предмета закупівлі</w:t>
            </w:r>
          </w:p>
        </w:tc>
        <w:tc>
          <w:tcPr>
            <w:tcW w:w="6145" w:type="dxa"/>
          </w:tcPr>
          <w:p w14:paraId="25EA75D8" w14:textId="240A5062" w:rsidR="0080252E" w:rsidRPr="00816BCF" w:rsidRDefault="0080252E" w:rsidP="00F00851">
            <w:pPr>
              <w:jc w:val="both"/>
              <w:rPr>
                <w:rFonts w:ascii="Times New Roman" w:eastAsia="Times New Roman" w:hAnsi="Times New Roman"/>
                <w:noProof/>
                <w:sz w:val="24"/>
                <w:szCs w:val="24"/>
                <w:lang w:val="uk-UA" w:eastAsia="ru-RU"/>
              </w:rPr>
            </w:pPr>
            <w:r w:rsidRPr="00816BCF">
              <w:rPr>
                <w:rFonts w:ascii="Times New Roman" w:eastAsia="Times New Roman" w:hAnsi="Times New Roman"/>
                <w:noProof/>
                <w:sz w:val="24"/>
                <w:szCs w:val="24"/>
                <w:lang w:val="uk-UA" w:eastAsia="ru-RU"/>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w:t>
            </w:r>
            <w:r w:rsidR="007B7334" w:rsidRPr="00816BCF">
              <w:rPr>
                <w:rFonts w:ascii="Times New Roman" w:eastAsia="Times New Roman" w:hAnsi="Times New Roman"/>
                <w:noProof/>
                <w:sz w:val="24"/>
                <w:szCs w:val="24"/>
                <w:lang w:val="uk-UA" w:eastAsia="ru-RU"/>
              </w:rPr>
              <w:t xml:space="preserve"> </w:t>
            </w:r>
            <w:r w:rsidRPr="00816BCF">
              <w:rPr>
                <w:rFonts w:ascii="Times New Roman" w:eastAsia="Times New Roman" w:hAnsi="Times New Roman"/>
                <w:noProof/>
                <w:sz w:val="24"/>
                <w:szCs w:val="24"/>
                <w:lang w:val="uk-UA" w:eastAsia="ru-RU"/>
              </w:rPr>
              <w:t>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207A94">
              <w:rPr>
                <w:rFonts w:ascii="Times New Roman" w:eastAsia="Times New Roman" w:hAnsi="Times New Roman"/>
                <w:noProof/>
                <w:sz w:val="24"/>
                <w:szCs w:val="24"/>
                <w:lang w:val="uk-UA" w:eastAsia="ru-RU"/>
              </w:rPr>
              <w:t xml:space="preserve"> -</w:t>
            </w:r>
            <w:r w:rsidRPr="00816BCF">
              <w:rPr>
                <w:rFonts w:ascii="Times New Roman" w:eastAsia="Times New Roman" w:hAnsi="Times New Roman"/>
                <w:noProof/>
                <w:sz w:val="24"/>
                <w:szCs w:val="24"/>
                <w:lang w:val="uk-UA" w:eastAsia="ru-RU"/>
              </w:rPr>
              <w:t xml:space="preserve"> </w:t>
            </w:r>
            <w:r w:rsidR="00195664">
              <w:rPr>
                <w:rFonts w:ascii="Times New Roman" w:eastAsia="Times New Roman" w:hAnsi="Times New Roman"/>
                <w:noProof/>
                <w:sz w:val="24"/>
                <w:szCs w:val="24"/>
                <w:lang w:val="uk-UA" w:eastAsia="ru-RU"/>
              </w:rPr>
              <w:t>шляхом</w:t>
            </w:r>
            <w:r w:rsidR="00195664" w:rsidRPr="00195664">
              <w:rPr>
                <w:rFonts w:ascii="Times New Roman" w:eastAsia="Times New Roman" w:hAnsi="Times New Roman"/>
                <w:noProof/>
                <w:sz w:val="24"/>
                <w:szCs w:val="24"/>
                <w:lang w:val="uk-UA" w:eastAsia="ru-RU"/>
              </w:rPr>
              <w:t xml:space="preserve"> пошуку та аналіз</w:t>
            </w:r>
            <w:r w:rsidR="00195664">
              <w:rPr>
                <w:rFonts w:ascii="Times New Roman" w:eastAsia="Times New Roman" w:hAnsi="Times New Roman"/>
                <w:noProof/>
                <w:sz w:val="24"/>
                <w:szCs w:val="24"/>
                <w:lang w:val="uk-UA" w:eastAsia="ru-RU"/>
              </w:rPr>
              <w:t>у</w:t>
            </w:r>
            <w:r w:rsidR="00195664" w:rsidRPr="00195664">
              <w:rPr>
                <w:rFonts w:ascii="Times New Roman" w:eastAsia="Times New Roman" w:hAnsi="Times New Roman"/>
                <w:noProof/>
                <w:sz w:val="24"/>
                <w:szCs w:val="24"/>
                <w:lang w:val="uk-UA" w:eastAsia="ru-RU"/>
              </w:rPr>
              <w:t xml:space="preserve"> загальнодоступної інформації про ціну </w:t>
            </w:r>
            <w:r w:rsidR="00195664" w:rsidRPr="00195664">
              <w:rPr>
                <w:rFonts w:ascii="Times New Roman" w:eastAsia="Times New Roman" w:hAnsi="Times New Roman"/>
                <w:noProof/>
                <w:sz w:val="24"/>
                <w:szCs w:val="24"/>
                <w:lang w:val="uk-UA" w:eastAsia="ru-RU"/>
              </w:rPr>
              <w:lastRenderedPageBreak/>
              <w:t>товару, що міст</w:t>
            </w:r>
            <w:r w:rsidR="00195664">
              <w:rPr>
                <w:rFonts w:ascii="Times New Roman" w:eastAsia="Times New Roman" w:hAnsi="Times New Roman"/>
                <w:noProof/>
                <w:sz w:val="24"/>
                <w:szCs w:val="24"/>
                <w:lang w:val="uk-UA" w:eastAsia="ru-RU"/>
              </w:rPr>
              <w:t>ить</w:t>
            </w:r>
            <w:r w:rsidR="00195664" w:rsidRPr="00195664">
              <w:rPr>
                <w:rFonts w:ascii="Times New Roman" w:eastAsia="Times New Roman" w:hAnsi="Times New Roman"/>
                <w:noProof/>
                <w:sz w:val="24"/>
                <w:szCs w:val="24"/>
                <w:lang w:val="uk-UA" w:eastAsia="ru-RU"/>
              </w:rPr>
              <w:t>ся в мережі інтернет у відкритому доступі</w:t>
            </w:r>
            <w:r w:rsidR="00207A94">
              <w:rPr>
                <w:rFonts w:ascii="Times New Roman" w:eastAsia="Times New Roman" w:hAnsi="Times New Roman"/>
                <w:noProof/>
                <w:sz w:val="24"/>
                <w:szCs w:val="24"/>
                <w:lang w:val="uk-UA" w:eastAsia="ru-RU"/>
              </w:rPr>
              <w:t>.</w:t>
            </w:r>
          </w:p>
        </w:tc>
      </w:tr>
      <w:tr w:rsidR="00410CEC" w:rsidRPr="00410CEC" w14:paraId="0F20E0A2" w14:textId="77777777" w:rsidTr="00F00851">
        <w:tc>
          <w:tcPr>
            <w:tcW w:w="421" w:type="dxa"/>
          </w:tcPr>
          <w:p w14:paraId="29D3B26F" w14:textId="7B565DD8" w:rsidR="00410CEC" w:rsidRPr="00816BCF" w:rsidRDefault="00410CEC" w:rsidP="00F00851">
            <w:pPr>
              <w:rPr>
                <w:rFonts w:ascii="Times New Roman" w:hAnsi="Times New Roman"/>
                <w:noProof/>
                <w:sz w:val="24"/>
                <w:szCs w:val="24"/>
                <w:lang w:val="uk-UA"/>
              </w:rPr>
            </w:pPr>
            <w:r>
              <w:rPr>
                <w:rFonts w:ascii="Times New Roman" w:hAnsi="Times New Roman"/>
                <w:noProof/>
                <w:sz w:val="24"/>
                <w:szCs w:val="24"/>
                <w:lang w:val="uk-UA"/>
              </w:rPr>
              <w:lastRenderedPageBreak/>
              <w:t>6</w:t>
            </w:r>
          </w:p>
        </w:tc>
        <w:tc>
          <w:tcPr>
            <w:tcW w:w="3210" w:type="dxa"/>
          </w:tcPr>
          <w:p w14:paraId="39712185" w14:textId="25D84431" w:rsidR="00410CEC" w:rsidRPr="00816BCF" w:rsidRDefault="00410CEC" w:rsidP="00410CEC">
            <w:pPr>
              <w:rPr>
                <w:rFonts w:ascii="Times New Roman" w:eastAsia="Times New Roman" w:hAnsi="Times New Roman"/>
                <w:b/>
                <w:noProof/>
                <w:sz w:val="24"/>
                <w:szCs w:val="24"/>
                <w:lang w:val="uk-UA" w:eastAsia="ru-RU"/>
              </w:rPr>
            </w:pPr>
            <w:r w:rsidRPr="00410CEC">
              <w:rPr>
                <w:rFonts w:ascii="Times New Roman" w:eastAsia="Times New Roman" w:hAnsi="Times New Roman"/>
                <w:b/>
                <w:noProof/>
                <w:sz w:val="24"/>
                <w:szCs w:val="24"/>
                <w:lang w:val="uk-UA" w:eastAsia="ru-RU"/>
              </w:rPr>
              <w:t xml:space="preserve">Ідентифікатор закупівлі в </w:t>
            </w:r>
            <w:r>
              <w:rPr>
                <w:rFonts w:ascii="Times New Roman" w:eastAsia="Times New Roman" w:hAnsi="Times New Roman"/>
                <w:b/>
                <w:noProof/>
                <w:sz w:val="24"/>
                <w:szCs w:val="24"/>
                <w:lang w:val="uk-UA" w:eastAsia="ru-RU"/>
              </w:rPr>
              <w:t>електронній системі закупівель</w:t>
            </w:r>
          </w:p>
        </w:tc>
        <w:tc>
          <w:tcPr>
            <w:tcW w:w="6145" w:type="dxa"/>
          </w:tcPr>
          <w:p w14:paraId="441FB2F3" w14:textId="751DF335" w:rsidR="00410CEC" w:rsidRPr="00816BCF" w:rsidRDefault="00F16B1C" w:rsidP="00F00851">
            <w:pPr>
              <w:jc w:val="both"/>
              <w:rPr>
                <w:rFonts w:ascii="Times New Roman" w:eastAsia="Times New Roman" w:hAnsi="Times New Roman"/>
                <w:noProof/>
                <w:sz w:val="24"/>
                <w:szCs w:val="24"/>
                <w:lang w:val="uk-UA" w:eastAsia="ru-RU"/>
              </w:rPr>
            </w:pPr>
            <w:r w:rsidRPr="00F16B1C">
              <w:rPr>
                <w:rFonts w:ascii="Arial" w:hAnsi="Arial" w:cs="Arial"/>
                <w:color w:val="333333"/>
                <w:sz w:val="20"/>
                <w:szCs w:val="20"/>
                <w:shd w:val="clear" w:color="auto" w:fill="FFFFFF"/>
              </w:rPr>
              <w:t>UA-2026-02-05-015163-a</w:t>
            </w:r>
          </w:p>
        </w:tc>
      </w:tr>
    </w:tbl>
    <w:p w14:paraId="5724F633" w14:textId="77777777" w:rsidR="00FE6658" w:rsidRPr="00816BCF" w:rsidRDefault="00FE6658">
      <w:pPr>
        <w:rPr>
          <w:rFonts w:ascii="Times New Roman" w:hAnsi="Times New Roman" w:cs="Times New Roman"/>
          <w:noProof/>
          <w:sz w:val="24"/>
          <w:szCs w:val="24"/>
          <w:lang w:val="uk-UA"/>
        </w:rPr>
      </w:pPr>
    </w:p>
    <w:sectPr w:rsidR="00FE6658" w:rsidRPr="00816BCF" w:rsidSect="006A2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F8"/>
    <w:rsid w:val="00012EC1"/>
    <w:rsid w:val="00072146"/>
    <w:rsid w:val="000B3930"/>
    <w:rsid w:val="000F6EAC"/>
    <w:rsid w:val="00103D13"/>
    <w:rsid w:val="00111981"/>
    <w:rsid w:val="00122F9F"/>
    <w:rsid w:val="00133ECA"/>
    <w:rsid w:val="001366D5"/>
    <w:rsid w:val="00151BC2"/>
    <w:rsid w:val="001553FB"/>
    <w:rsid w:val="00170A1C"/>
    <w:rsid w:val="0019208D"/>
    <w:rsid w:val="00193217"/>
    <w:rsid w:val="00195664"/>
    <w:rsid w:val="00207A94"/>
    <w:rsid w:val="0021158C"/>
    <w:rsid w:val="0027153B"/>
    <w:rsid w:val="00277BDF"/>
    <w:rsid w:val="002B3D90"/>
    <w:rsid w:val="002D40F8"/>
    <w:rsid w:val="002E6EA8"/>
    <w:rsid w:val="00394E0B"/>
    <w:rsid w:val="003B34F0"/>
    <w:rsid w:val="00410CEC"/>
    <w:rsid w:val="0042158E"/>
    <w:rsid w:val="00452C70"/>
    <w:rsid w:val="0046240B"/>
    <w:rsid w:val="00485813"/>
    <w:rsid w:val="004F4831"/>
    <w:rsid w:val="004F65CC"/>
    <w:rsid w:val="00510D54"/>
    <w:rsid w:val="00513169"/>
    <w:rsid w:val="0059320E"/>
    <w:rsid w:val="005C4E8D"/>
    <w:rsid w:val="005E3CE6"/>
    <w:rsid w:val="005E4D24"/>
    <w:rsid w:val="005E69CA"/>
    <w:rsid w:val="005E74E2"/>
    <w:rsid w:val="00654499"/>
    <w:rsid w:val="00671D39"/>
    <w:rsid w:val="00685202"/>
    <w:rsid w:val="00694B3D"/>
    <w:rsid w:val="006A28F0"/>
    <w:rsid w:val="00710EAF"/>
    <w:rsid w:val="00712E24"/>
    <w:rsid w:val="007534C9"/>
    <w:rsid w:val="00770347"/>
    <w:rsid w:val="007733B5"/>
    <w:rsid w:val="00775380"/>
    <w:rsid w:val="00784EA0"/>
    <w:rsid w:val="00793EF0"/>
    <w:rsid w:val="007A38B5"/>
    <w:rsid w:val="007B7334"/>
    <w:rsid w:val="0080252E"/>
    <w:rsid w:val="00805ABC"/>
    <w:rsid w:val="00816BCF"/>
    <w:rsid w:val="008328A2"/>
    <w:rsid w:val="0086429D"/>
    <w:rsid w:val="00871A7B"/>
    <w:rsid w:val="008A02DF"/>
    <w:rsid w:val="008A4B32"/>
    <w:rsid w:val="008D7D2D"/>
    <w:rsid w:val="00950744"/>
    <w:rsid w:val="009D08D5"/>
    <w:rsid w:val="009E175C"/>
    <w:rsid w:val="009F2F94"/>
    <w:rsid w:val="00A36150"/>
    <w:rsid w:val="00AB7692"/>
    <w:rsid w:val="00AD0C7B"/>
    <w:rsid w:val="00B54BD7"/>
    <w:rsid w:val="00B8665A"/>
    <w:rsid w:val="00BB5E95"/>
    <w:rsid w:val="00BD1074"/>
    <w:rsid w:val="00C11EAB"/>
    <w:rsid w:val="00C43670"/>
    <w:rsid w:val="00C62C8A"/>
    <w:rsid w:val="00C66C6A"/>
    <w:rsid w:val="00CA35B5"/>
    <w:rsid w:val="00CA5287"/>
    <w:rsid w:val="00CB4F89"/>
    <w:rsid w:val="00CC49C9"/>
    <w:rsid w:val="00CE141E"/>
    <w:rsid w:val="00D87171"/>
    <w:rsid w:val="00DA1C3E"/>
    <w:rsid w:val="00E02F69"/>
    <w:rsid w:val="00E07AD6"/>
    <w:rsid w:val="00E43737"/>
    <w:rsid w:val="00EC48B2"/>
    <w:rsid w:val="00ED21F5"/>
    <w:rsid w:val="00ED5EFB"/>
    <w:rsid w:val="00EF2325"/>
    <w:rsid w:val="00EF38A7"/>
    <w:rsid w:val="00F16B1C"/>
    <w:rsid w:val="00F22926"/>
    <w:rsid w:val="00F67FEC"/>
    <w:rsid w:val="00F876A5"/>
    <w:rsid w:val="00FE6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6B36"/>
  <w15:docId w15:val="{E814C96E-52B1-4046-9AFA-D131C26E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0252E"/>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52E"/>
    <w:rPr>
      <w:rFonts w:ascii="Times New Roman" w:eastAsia="Times New Roman" w:hAnsi="Times New Roman" w:cs="Times New Roman"/>
      <w:b/>
      <w:bCs/>
      <w:kern w:val="36"/>
      <w:sz w:val="48"/>
      <w:szCs w:val="48"/>
      <w:lang w:val="x-none" w:eastAsia="uk-UA"/>
    </w:rPr>
  </w:style>
  <w:style w:type="character" w:customStyle="1" w:styleId="qabuget">
    <w:name w:val="qa_buget"/>
    <w:basedOn w:val="a0"/>
    <w:rsid w:val="0080252E"/>
  </w:style>
  <w:style w:type="character" w:customStyle="1" w:styleId="qacode">
    <w:name w:val="qa_code"/>
    <w:basedOn w:val="a0"/>
    <w:rsid w:val="0080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370</Words>
  <Characters>2111</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Snabhenie</dc:creator>
  <cp:keywords/>
  <dc:description/>
  <cp:lastModifiedBy>Dima Nazarenko</cp:lastModifiedBy>
  <cp:revision>14</cp:revision>
  <dcterms:created xsi:type="dcterms:W3CDTF">2025-12-05T16:21:00Z</dcterms:created>
  <dcterms:modified xsi:type="dcterms:W3CDTF">2026-02-05T15:28:00Z</dcterms:modified>
</cp:coreProperties>
</file>